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568E" w14:textId="6DA8A00F" w:rsidR="00E96467" w:rsidRDefault="00E96467" w:rsidP="00E96467">
      <w:pPr>
        <w:pStyle w:val="OnafriqBodycopy"/>
        <w:tabs>
          <w:tab w:val="left" w:pos="1680"/>
        </w:tabs>
        <w:rPr>
          <w:rFonts w:ascii="Century Gothic" w:hAnsi="Century Gothic" w:cs="Open Sans"/>
          <w:sz w:val="20"/>
          <w:szCs w:val="20"/>
          <w:lang w:val="en-US"/>
        </w:rPr>
      </w:pPr>
      <w:r>
        <w:rPr>
          <w:rFonts w:ascii="Century Gothic" w:hAnsi="Century Gothic" w:cs="Open Sans"/>
          <w:sz w:val="20"/>
          <w:szCs w:val="20"/>
          <w:lang w:val="en-US"/>
        </w:rPr>
        <w:tab/>
      </w:r>
    </w:p>
    <w:p w14:paraId="3F197501" w14:textId="77777777" w:rsidR="00E96467" w:rsidRPr="00302DCE" w:rsidRDefault="00E96467" w:rsidP="005A7CF2">
      <w:pPr>
        <w:pStyle w:val="OnafriqBodycopy"/>
        <w:rPr>
          <w:rFonts w:ascii="Century Gothic" w:hAnsi="Century Gothic" w:cs="Open Sans"/>
          <w:sz w:val="2"/>
          <w:szCs w:val="2"/>
          <w:lang w:val="en-US"/>
        </w:rPr>
      </w:pPr>
    </w:p>
    <w:p w14:paraId="4EAA8506" w14:textId="77777777" w:rsidR="00E96467" w:rsidRPr="00302DCE" w:rsidRDefault="00E96467" w:rsidP="005A7CF2">
      <w:pPr>
        <w:pStyle w:val="OnafriqBodycopy"/>
        <w:rPr>
          <w:rFonts w:ascii="Century Gothic" w:hAnsi="Century Gothic" w:cs="Open Sans"/>
          <w:sz w:val="12"/>
          <w:szCs w:val="12"/>
          <w:lang w:val="en-US"/>
        </w:rPr>
      </w:pPr>
    </w:p>
    <w:p w14:paraId="4DEB45C0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55DFADE4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6C4C101D" w14:textId="77777777" w:rsidR="00214FC1" w:rsidRDefault="00214FC1" w:rsidP="00214FC1">
      <w:pPr>
        <w:pStyle w:val="Title"/>
        <w:rPr>
          <w:spacing w:val="-2"/>
        </w:rPr>
      </w:pPr>
      <w:r>
        <w:t>SICKNESS</w:t>
      </w:r>
      <w:r>
        <w:rPr>
          <w:spacing w:val="-9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rPr>
          <w:spacing w:val="-2"/>
        </w:rPr>
        <w:t>POLICY</w:t>
      </w:r>
    </w:p>
    <w:p w14:paraId="4E31EA02" w14:textId="77777777" w:rsidR="001074C4" w:rsidRDefault="001074C4" w:rsidP="00214FC1">
      <w:pPr>
        <w:pStyle w:val="Title"/>
      </w:pPr>
    </w:p>
    <w:p w14:paraId="3D1329B6" w14:textId="77777777" w:rsidR="00214FC1" w:rsidRDefault="00214FC1" w:rsidP="00214FC1">
      <w:pPr>
        <w:pStyle w:val="BodyText"/>
        <w:spacing w:before="82"/>
        <w:rPr>
          <w:b/>
          <w:sz w:val="28"/>
        </w:rPr>
      </w:pPr>
    </w:p>
    <w:p w14:paraId="23340AA7" w14:textId="77777777" w:rsidR="00214FC1" w:rsidRDefault="00214FC1" w:rsidP="00214FC1">
      <w:pPr>
        <w:pStyle w:val="ListParagraph"/>
        <w:numPr>
          <w:ilvl w:val="0"/>
          <w:numId w:val="1"/>
        </w:numPr>
        <w:tabs>
          <w:tab w:val="left" w:pos="1082"/>
        </w:tabs>
        <w:spacing w:line="360" w:lineRule="auto"/>
        <w:ind w:right="699" w:hanging="566"/>
      </w:pPr>
      <w:r>
        <w:t>This policy should be read in conjunction with Chambers’ Constitution and in this policy</w:t>
      </w:r>
      <w:r>
        <w:rPr>
          <w:spacing w:val="40"/>
        </w:rPr>
        <w:t xml:space="preserve"> </w:t>
      </w:r>
      <w:r>
        <w:t>the following definitions apply:</w:t>
      </w:r>
    </w:p>
    <w:p w14:paraId="1E8972D9" w14:textId="77777777" w:rsidR="00214FC1" w:rsidRDefault="00214FC1" w:rsidP="00214FC1">
      <w:pPr>
        <w:pStyle w:val="ListParagraph"/>
        <w:numPr>
          <w:ilvl w:val="1"/>
          <w:numId w:val="1"/>
        </w:numPr>
        <w:tabs>
          <w:tab w:val="left" w:pos="1649"/>
          <w:tab w:val="left" w:pos="1651"/>
        </w:tabs>
        <w:spacing w:before="242" w:line="360" w:lineRule="auto"/>
        <w:ind w:right="651"/>
        <w:jc w:val="both"/>
      </w:pPr>
      <w:r>
        <w:t>“</w:t>
      </w:r>
      <w:proofErr w:type="gramStart"/>
      <w:r>
        <w:t>sickness</w:t>
      </w:r>
      <w:proofErr w:type="gramEnd"/>
      <w:r>
        <w:rPr>
          <w:spacing w:val="-8"/>
        </w:rPr>
        <w:t xml:space="preserve"> </w:t>
      </w:r>
      <w:r>
        <w:t>leave”</w:t>
      </w:r>
      <w:r>
        <w:rPr>
          <w:spacing w:val="-10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temporary</w:t>
      </w:r>
      <w:r>
        <w:rPr>
          <w:spacing w:val="-8"/>
        </w:rPr>
        <w:t xml:space="preserve"> </w:t>
      </w:r>
      <w:r>
        <w:t>cessation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barrister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ill- health which prevents that barrister from working for a period of more than 20 consecutive working days (‘working days’ being weekdays excluding bank or public holidays), or by reason of disability where that disability prevents the barrister from </w:t>
      </w:r>
      <w:proofErr w:type="spellStart"/>
      <w:r>
        <w:rPr>
          <w:spacing w:val="-2"/>
        </w:rPr>
        <w:t>practising</w:t>
      </w:r>
      <w:proofErr w:type="spellEnd"/>
      <w:r>
        <w:rPr>
          <w:spacing w:val="-2"/>
        </w:rPr>
        <w:t>;</w:t>
      </w:r>
    </w:p>
    <w:p w14:paraId="1A07C1EE" w14:textId="77777777" w:rsidR="00214FC1" w:rsidRDefault="00214FC1" w:rsidP="00214FC1">
      <w:pPr>
        <w:pStyle w:val="ListParagraph"/>
        <w:numPr>
          <w:ilvl w:val="1"/>
          <w:numId w:val="1"/>
        </w:numPr>
        <w:tabs>
          <w:tab w:val="left" w:pos="1649"/>
        </w:tabs>
        <w:spacing w:before="239"/>
        <w:ind w:left="1649" w:right="0" w:hanging="566"/>
      </w:pPr>
      <w:r>
        <w:t>“disability”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meaning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2010</w:t>
      </w:r>
      <w:r>
        <w:rPr>
          <w:spacing w:val="-8"/>
        </w:rPr>
        <w:t xml:space="preserve"> </w:t>
      </w:r>
      <w:r>
        <w:t>(as</w:t>
      </w:r>
      <w:r>
        <w:rPr>
          <w:spacing w:val="-5"/>
        </w:rPr>
        <w:t xml:space="preserve"> </w:t>
      </w:r>
      <w:r>
        <w:rPr>
          <w:spacing w:val="-2"/>
        </w:rPr>
        <w:t>amended</w:t>
      </w:r>
      <w:proofErr w:type="gramStart"/>
      <w:r>
        <w:rPr>
          <w:spacing w:val="-2"/>
        </w:rPr>
        <w:t>);</w:t>
      </w:r>
      <w:proofErr w:type="gramEnd"/>
    </w:p>
    <w:p w14:paraId="36A78BCC" w14:textId="77777777" w:rsidR="00214FC1" w:rsidRDefault="00214FC1" w:rsidP="00214FC1">
      <w:pPr>
        <w:pStyle w:val="BodyText"/>
        <w:spacing w:before="115"/>
      </w:pPr>
    </w:p>
    <w:p w14:paraId="54AADDC3" w14:textId="77777777" w:rsidR="00214FC1" w:rsidRDefault="00214FC1" w:rsidP="00214FC1">
      <w:pPr>
        <w:pStyle w:val="ListParagraph"/>
        <w:numPr>
          <w:ilvl w:val="1"/>
          <w:numId w:val="1"/>
        </w:numPr>
        <w:tabs>
          <w:tab w:val="left" w:pos="1649"/>
          <w:tab w:val="left" w:pos="1651"/>
        </w:tabs>
        <w:spacing w:line="360" w:lineRule="auto"/>
        <w:ind w:right="640"/>
        <w:jc w:val="both"/>
      </w:pPr>
      <w:r>
        <w:t>“</w:t>
      </w:r>
      <w:proofErr w:type="spellStart"/>
      <w:proofErr w:type="gramStart"/>
      <w:r>
        <w:t>months</w:t>
      </w:r>
      <w:proofErr w:type="spellEnd"/>
      <w:proofErr w:type="gramEnd"/>
      <w:r>
        <w:t xml:space="preserve"> rent” shall be a notional rent calculated as a percentage of a barrister’s average monthly earnings for the twelve months, or if the barrister has not worked</w:t>
      </w:r>
      <w:r>
        <w:rPr>
          <w:spacing w:val="40"/>
        </w:rPr>
        <w:t xml:space="preserve"> </w:t>
      </w:r>
      <w:r>
        <w:t>for twelve months, the number of whole months he/she has worked, immediately preceding a period of sickness leave. The percentage to be applied shall be the percentage or percentages used to calculate rent due by that barrister to Chambers 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month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rebate,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paragraphs</w:t>
      </w:r>
      <w:r>
        <w:rPr>
          <w:spacing w:val="-5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below,</w:t>
      </w:r>
      <w:r>
        <w:rPr>
          <w:spacing w:val="-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 xml:space="preserve">claimed. For the avoidance of doubt and to take into account fluctuations in the applicable percentage, whether by reason of changes in the budget or the </w:t>
      </w:r>
      <w:proofErr w:type="spellStart"/>
      <w:r>
        <w:t>barrister’sincome</w:t>
      </w:r>
      <w:proofErr w:type="spellEnd"/>
      <w:r>
        <w:t xml:space="preserve"> crossing a threshold, the “month’s rent” shall be calculated on a </w:t>
      </w:r>
      <w:proofErr w:type="gramStart"/>
      <w:r>
        <w:t>month by month</w:t>
      </w:r>
      <w:proofErr w:type="gramEnd"/>
      <w:r>
        <w:t xml:space="preserve"> </w:t>
      </w:r>
      <w:r>
        <w:rPr>
          <w:spacing w:val="-2"/>
        </w:rPr>
        <w:t>basis;</w:t>
      </w:r>
    </w:p>
    <w:p w14:paraId="011EE730" w14:textId="09CF7724" w:rsidR="00E96467" w:rsidRPr="00C651FA" w:rsidRDefault="00214FC1" w:rsidP="00214FC1">
      <w:pPr>
        <w:pStyle w:val="ListParagraph"/>
        <w:numPr>
          <w:ilvl w:val="1"/>
          <w:numId w:val="1"/>
        </w:numPr>
        <w:tabs>
          <w:tab w:val="left" w:pos="1650"/>
        </w:tabs>
        <w:spacing w:before="240" w:line="360" w:lineRule="auto"/>
        <w:ind w:left="1650" w:right="655" w:hanging="568"/>
        <w:jc w:val="both"/>
      </w:pPr>
      <w:r>
        <w:t>“</w:t>
      </w:r>
      <w:proofErr w:type="gramStart"/>
      <w:r>
        <w:t>minimum</w:t>
      </w:r>
      <w:proofErr w:type="gramEnd"/>
      <w:r>
        <w:t xml:space="preserve"> annual contribution” shall be the amount set from time to time in the Rent </w:t>
      </w:r>
      <w:proofErr w:type="spellStart"/>
      <w:r>
        <w:t>Annexe</w:t>
      </w:r>
      <w:proofErr w:type="spellEnd"/>
      <w:r>
        <w:t xml:space="preserve"> to Chambers’ Budget Report; and</w:t>
      </w:r>
      <w:r w:rsidR="00C651FA">
        <w:t xml:space="preserve"> </w:t>
      </w:r>
      <w:r w:rsidRPr="00C651FA">
        <w:t>“barrister”</w:t>
      </w:r>
      <w:r w:rsidRPr="00C651FA">
        <w:rPr>
          <w:spacing w:val="-13"/>
        </w:rPr>
        <w:t xml:space="preserve"> </w:t>
      </w:r>
      <w:r w:rsidRPr="00C651FA">
        <w:t>means</w:t>
      </w:r>
      <w:r w:rsidRPr="00C651FA">
        <w:rPr>
          <w:spacing w:val="-12"/>
        </w:rPr>
        <w:t xml:space="preserve"> </w:t>
      </w:r>
      <w:r w:rsidRPr="00C651FA">
        <w:t>barrister</w:t>
      </w:r>
      <w:r w:rsidRPr="00C651FA">
        <w:rPr>
          <w:spacing w:val="-9"/>
        </w:rPr>
        <w:t xml:space="preserve"> </w:t>
      </w:r>
      <w:r w:rsidRPr="00C651FA">
        <w:t>member</w:t>
      </w:r>
      <w:r w:rsidRPr="00C651FA">
        <w:rPr>
          <w:spacing w:val="-10"/>
        </w:rPr>
        <w:t xml:space="preserve"> </w:t>
      </w:r>
      <w:r w:rsidRPr="00C651FA">
        <w:t>of</w:t>
      </w:r>
      <w:r w:rsidRPr="00C651FA">
        <w:rPr>
          <w:spacing w:val="-6"/>
        </w:rPr>
        <w:t xml:space="preserve"> </w:t>
      </w:r>
      <w:r w:rsidRPr="00C651FA">
        <w:t>Chambers,</w:t>
      </w:r>
      <w:r w:rsidRPr="00C651FA">
        <w:rPr>
          <w:spacing w:val="-11"/>
        </w:rPr>
        <w:t xml:space="preserve"> </w:t>
      </w:r>
      <w:r w:rsidRPr="00C651FA">
        <w:t>save</w:t>
      </w:r>
      <w:r w:rsidRPr="00C651FA">
        <w:rPr>
          <w:spacing w:val="-8"/>
        </w:rPr>
        <w:t xml:space="preserve"> </w:t>
      </w:r>
      <w:r w:rsidRPr="00C651FA">
        <w:t>where</w:t>
      </w:r>
      <w:r w:rsidRPr="00C651FA">
        <w:rPr>
          <w:spacing w:val="-10"/>
        </w:rPr>
        <w:t xml:space="preserve"> </w:t>
      </w:r>
      <w:r w:rsidRPr="00C651FA">
        <w:t>otherwise</w:t>
      </w:r>
      <w:r w:rsidRPr="00C651FA">
        <w:rPr>
          <w:spacing w:val="-8"/>
        </w:rPr>
        <w:t xml:space="preserve"> </w:t>
      </w:r>
      <w:r w:rsidRPr="00C651FA">
        <w:rPr>
          <w:spacing w:val="-2"/>
        </w:rPr>
        <w:t>defined.</w:t>
      </w:r>
    </w:p>
    <w:p w14:paraId="1997CA5F" w14:textId="77777777" w:rsidR="00E96467" w:rsidRDefault="00E96467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6F3B5F40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53C1FD31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56D871D9" w14:textId="77777777" w:rsidR="00C651FA" w:rsidRDefault="00C651FA" w:rsidP="00C651FA">
      <w:pPr>
        <w:pStyle w:val="ListParagraph"/>
        <w:numPr>
          <w:ilvl w:val="0"/>
          <w:numId w:val="2"/>
        </w:numPr>
        <w:tabs>
          <w:tab w:val="left" w:pos="1080"/>
          <w:tab w:val="left" w:pos="1083"/>
        </w:tabs>
        <w:spacing w:line="360" w:lineRule="auto"/>
        <w:ind w:right="648"/>
      </w:pPr>
      <w:r>
        <w:t>The obligation to pay the minimum annual contribution shall be suspended during periods of absence from Chambers on sickness leave for a continuous period of 20 working days or</w:t>
      </w:r>
      <w:r>
        <w:rPr>
          <w:spacing w:val="-8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cases</w:t>
      </w:r>
      <w:r>
        <w:rPr>
          <w:spacing w:val="-8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absence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Chambers</w:t>
      </w:r>
      <w:r>
        <w:rPr>
          <w:spacing w:val="-8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ill</w:t>
      </w:r>
      <w:r>
        <w:rPr>
          <w:spacing w:val="-7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has been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60</w:t>
      </w:r>
      <w:r>
        <w:rPr>
          <w:spacing w:val="-11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more,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obligation</w:t>
      </w:r>
      <w:r>
        <w:rPr>
          <w:spacing w:val="-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minimum annual contribution shall be suspended for the six months immediately thereafter.</w:t>
      </w:r>
    </w:p>
    <w:p w14:paraId="48947AF5" w14:textId="77777777" w:rsidR="00C651FA" w:rsidRDefault="00C651FA" w:rsidP="00C651FA">
      <w:pPr>
        <w:pStyle w:val="BodyText"/>
      </w:pPr>
    </w:p>
    <w:p w14:paraId="033DDCC7" w14:textId="77777777" w:rsidR="00C651FA" w:rsidRDefault="00C651FA" w:rsidP="00C651FA">
      <w:pPr>
        <w:pStyle w:val="BodyText"/>
      </w:pPr>
    </w:p>
    <w:p w14:paraId="774B749D" w14:textId="77777777" w:rsidR="00C651FA" w:rsidRDefault="00C651FA" w:rsidP="00C651FA">
      <w:pPr>
        <w:pStyle w:val="BodyText"/>
        <w:spacing w:before="99"/>
      </w:pPr>
    </w:p>
    <w:p w14:paraId="24C59F54" w14:textId="77777777" w:rsidR="00C651FA" w:rsidRDefault="00C651FA" w:rsidP="00C651FA">
      <w:pPr>
        <w:pStyle w:val="ListParagraph"/>
        <w:numPr>
          <w:ilvl w:val="0"/>
          <w:numId w:val="2"/>
        </w:numPr>
        <w:tabs>
          <w:tab w:val="left" w:pos="1081"/>
        </w:tabs>
        <w:spacing w:line="360" w:lineRule="auto"/>
        <w:ind w:left="1081" w:right="646" w:hanging="565"/>
      </w:pPr>
      <w:r>
        <w:t>A barrister who suffers from ill health which affects his or her ability to work for more than 20</w:t>
      </w:r>
      <w:r>
        <w:rPr>
          <w:spacing w:val="-16"/>
        </w:rPr>
        <w:t xml:space="preserve"> </w:t>
      </w:r>
      <w:r>
        <w:t>consecutive</w:t>
      </w:r>
      <w:r>
        <w:rPr>
          <w:spacing w:val="-15"/>
        </w:rPr>
        <w:t xml:space="preserve"> </w:t>
      </w:r>
      <w:r>
        <w:t>working</w:t>
      </w:r>
      <w:r>
        <w:rPr>
          <w:spacing w:val="-15"/>
        </w:rPr>
        <w:t xml:space="preserve"> </w:t>
      </w:r>
      <w:r>
        <w:t>days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suffers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disability</w:t>
      </w:r>
      <w:r>
        <w:rPr>
          <w:spacing w:val="-14"/>
        </w:rPr>
        <w:t xml:space="preserve"> </w:t>
      </w:r>
      <w:r>
        <w:t>shall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entitled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period of leave or may request to alter his or her pattern of work (for example by working flexible hours or part-time or partly from home) </w:t>
      </w:r>
      <w:proofErr w:type="gramStart"/>
      <w:r>
        <w:t>so as to</w:t>
      </w:r>
      <w:proofErr w:type="gramEnd"/>
      <w:r>
        <w:t xml:space="preserve"> enable him or her to manage </w:t>
      </w:r>
      <w:proofErr w:type="spellStart"/>
      <w:r>
        <w:t>hisor</w:t>
      </w:r>
      <w:proofErr w:type="spellEnd"/>
      <w:r>
        <w:t xml:space="preserve"> her illness or disability. To the extent that this may interfere with his or her normal availability for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clerked,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discussed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 Chambers.</w:t>
      </w:r>
      <w:r>
        <w:rPr>
          <w:spacing w:val="80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barrister</w:t>
      </w:r>
      <w:r>
        <w:rPr>
          <w:spacing w:val="-12"/>
        </w:rPr>
        <w:t xml:space="preserve"> </w:t>
      </w:r>
      <w:r>
        <w:t>seeking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flexibly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encouraged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discuss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practicalities of his or her proposals at the earliest possible opportunity with the relevant Practice </w:t>
      </w:r>
      <w:r>
        <w:rPr>
          <w:spacing w:val="-2"/>
        </w:rPr>
        <w:t>Manager.</w:t>
      </w:r>
    </w:p>
    <w:p w14:paraId="4C7E2053" w14:textId="77777777" w:rsidR="00C651FA" w:rsidRDefault="00C651FA" w:rsidP="00C651FA">
      <w:pPr>
        <w:pStyle w:val="BodyText"/>
      </w:pPr>
    </w:p>
    <w:p w14:paraId="1DAADC95" w14:textId="77777777" w:rsidR="00C651FA" w:rsidRDefault="00C651FA" w:rsidP="00C651FA">
      <w:pPr>
        <w:pStyle w:val="BodyText"/>
      </w:pPr>
    </w:p>
    <w:p w14:paraId="3EDCFE18" w14:textId="77777777" w:rsidR="00C651FA" w:rsidRDefault="00C651FA" w:rsidP="00C651FA">
      <w:pPr>
        <w:pStyle w:val="BodyText"/>
        <w:spacing w:before="100"/>
      </w:pPr>
    </w:p>
    <w:p w14:paraId="3F0CC0E0" w14:textId="77777777" w:rsidR="00C651FA" w:rsidRDefault="00C651FA" w:rsidP="00C651FA">
      <w:pPr>
        <w:pStyle w:val="ListParagraph"/>
        <w:numPr>
          <w:ilvl w:val="0"/>
          <w:numId w:val="2"/>
        </w:numPr>
        <w:tabs>
          <w:tab w:val="left" w:pos="1079"/>
          <w:tab w:val="left" w:pos="1082"/>
        </w:tabs>
        <w:spacing w:line="360" w:lineRule="auto"/>
        <w:ind w:right="642"/>
      </w:pPr>
      <w:r>
        <w:t>A</w:t>
      </w:r>
      <w:r>
        <w:rPr>
          <w:spacing w:val="-11"/>
        </w:rPr>
        <w:t xml:space="preserve"> </w:t>
      </w:r>
      <w:r>
        <w:t>barrister’s</w:t>
      </w:r>
      <w:r>
        <w:rPr>
          <w:spacing w:val="-10"/>
        </w:rPr>
        <w:t xml:space="preserve"> </w:t>
      </w:r>
      <w:r>
        <w:t>seat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Chambers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open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months while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sickness</w:t>
      </w:r>
      <w:r>
        <w:rPr>
          <w:spacing w:val="-7"/>
        </w:rPr>
        <w:t xml:space="preserve"> </w:t>
      </w:r>
      <w:r>
        <w:t>leave.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pupil</w:t>
      </w:r>
      <w:r>
        <w:rPr>
          <w:spacing w:val="-8"/>
        </w:rPr>
        <w:t xml:space="preserve"> </w:t>
      </w:r>
      <w:r>
        <w:t>barrister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pupillage</w:t>
      </w:r>
      <w:r>
        <w:rPr>
          <w:spacing w:val="-6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remain open (i.e. suspended) for a period of up to 12 months from the start</w:t>
      </w:r>
      <w:r>
        <w:rPr>
          <w:spacing w:val="40"/>
        </w:rPr>
        <w:t xml:space="preserve"> </w:t>
      </w:r>
      <w:r>
        <w:t>of the Initial Absence Period as defined in paragraph 22 below, but this shall not be taken to extend the span of the</w:t>
      </w:r>
      <w:r>
        <w:rPr>
          <w:spacing w:val="-6"/>
        </w:rPr>
        <w:t xml:space="preserve"> </w:t>
      </w:r>
      <w:r>
        <w:t>pupillage</w:t>
      </w:r>
      <w:r>
        <w:rPr>
          <w:spacing w:val="-6"/>
        </w:rPr>
        <w:t xml:space="preserve"> </w:t>
      </w:r>
      <w:r>
        <w:t>itself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fixed</w:t>
      </w:r>
      <w:r>
        <w:rPr>
          <w:spacing w:val="-6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months</w:t>
      </w:r>
      <w:r>
        <w:rPr>
          <w:spacing w:val="-10"/>
        </w:rPr>
        <w:t xml:space="preserve"> </w:t>
      </w:r>
      <w:r>
        <w:t>(as</w:t>
      </w:r>
      <w:r>
        <w:rPr>
          <w:spacing w:val="-6"/>
        </w:rPr>
        <w:t xml:space="preserve"> </w:t>
      </w:r>
      <w:r>
        <w:t>appropriate)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2"/>
        </w:rPr>
        <w:t>total.</w:t>
      </w:r>
    </w:p>
    <w:p w14:paraId="67502944" w14:textId="77777777" w:rsidR="00C651FA" w:rsidRDefault="00C651FA" w:rsidP="00C651FA">
      <w:pPr>
        <w:pStyle w:val="BodyText"/>
      </w:pPr>
    </w:p>
    <w:p w14:paraId="094BF205" w14:textId="77777777" w:rsidR="00C651FA" w:rsidRDefault="00C651FA" w:rsidP="00C651FA">
      <w:pPr>
        <w:pStyle w:val="BodyText"/>
      </w:pPr>
    </w:p>
    <w:p w14:paraId="2A107282" w14:textId="77777777" w:rsidR="00C651FA" w:rsidRDefault="00C651FA" w:rsidP="00C651FA">
      <w:pPr>
        <w:pStyle w:val="BodyText"/>
      </w:pPr>
    </w:p>
    <w:p w14:paraId="78D67F7F" w14:textId="77777777" w:rsidR="00C651FA" w:rsidRDefault="00C651FA" w:rsidP="00C651FA">
      <w:pPr>
        <w:pStyle w:val="BodyText"/>
      </w:pPr>
    </w:p>
    <w:p w14:paraId="30EBFEE1" w14:textId="77777777" w:rsidR="00C651FA" w:rsidRDefault="00C651FA" w:rsidP="00C651FA">
      <w:pPr>
        <w:pStyle w:val="BodyText"/>
      </w:pPr>
    </w:p>
    <w:p w14:paraId="419054E7" w14:textId="77777777" w:rsidR="00C651FA" w:rsidRDefault="00C651FA" w:rsidP="00C651FA">
      <w:pPr>
        <w:pStyle w:val="BodyText"/>
        <w:spacing w:before="103"/>
      </w:pPr>
    </w:p>
    <w:p w14:paraId="5E4F8F5B" w14:textId="1D55BE1A" w:rsidR="00C651FA" w:rsidRDefault="00C651FA" w:rsidP="00C651FA">
      <w:pPr>
        <w:pStyle w:val="ListParagraph"/>
        <w:numPr>
          <w:ilvl w:val="0"/>
          <w:numId w:val="2"/>
        </w:numPr>
        <w:tabs>
          <w:tab w:val="left" w:pos="1080"/>
          <w:tab w:val="left" w:pos="1083"/>
        </w:tabs>
        <w:spacing w:before="1" w:line="357" w:lineRule="auto"/>
        <w:ind w:left="1083" w:right="645"/>
      </w:pPr>
      <w:r>
        <w:t>Any barrister who is on sickness leave should notify Chambers via the Chief Executive as soon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reasonably</w:t>
      </w:r>
      <w:r>
        <w:rPr>
          <w:spacing w:val="-5"/>
        </w:rPr>
        <w:t xml:space="preserve"> </w:t>
      </w:r>
      <w:r>
        <w:t>practicable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and any subsequent changes to those dates.</w:t>
      </w:r>
    </w:p>
    <w:p w14:paraId="00F1D7CB" w14:textId="77777777" w:rsidR="004B6520" w:rsidRDefault="004B6520" w:rsidP="004B6520">
      <w:pPr>
        <w:pStyle w:val="ListParagraph"/>
        <w:tabs>
          <w:tab w:val="left" w:pos="1080"/>
          <w:tab w:val="left" w:pos="1083"/>
        </w:tabs>
        <w:spacing w:before="1" w:line="357" w:lineRule="auto"/>
        <w:ind w:right="645" w:firstLine="0"/>
      </w:pPr>
    </w:p>
    <w:p w14:paraId="2D3B6C9A" w14:textId="77777777" w:rsidR="00C651FA" w:rsidRDefault="00C651FA" w:rsidP="00C651FA">
      <w:pPr>
        <w:pStyle w:val="BodyText"/>
        <w:spacing w:before="106"/>
      </w:pPr>
    </w:p>
    <w:p w14:paraId="5BC221EA" w14:textId="77777777" w:rsidR="00C651FA" w:rsidRDefault="00C651FA" w:rsidP="00C651FA">
      <w:pPr>
        <w:pStyle w:val="ListParagraph"/>
        <w:numPr>
          <w:ilvl w:val="0"/>
          <w:numId w:val="2"/>
        </w:numPr>
        <w:tabs>
          <w:tab w:val="left" w:pos="1080"/>
          <w:tab w:val="left" w:pos="1083"/>
        </w:tabs>
        <w:spacing w:before="1" w:line="360" w:lineRule="auto"/>
        <w:ind w:left="1083" w:right="651"/>
      </w:pPr>
      <w:r>
        <w:t>Any</w:t>
      </w:r>
      <w:r>
        <w:rPr>
          <w:spacing w:val="-6"/>
        </w:rPr>
        <w:t xml:space="preserve"> </w:t>
      </w:r>
      <w:r>
        <w:t>barrister</w:t>
      </w:r>
      <w:r>
        <w:rPr>
          <w:spacing w:val="-8"/>
        </w:rPr>
        <w:t xml:space="preserve"> </w:t>
      </w:r>
      <w:r>
        <w:t>(other</w:t>
      </w:r>
      <w:r>
        <w:rPr>
          <w:spacing w:val="-8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pupil</w:t>
      </w:r>
      <w:r>
        <w:rPr>
          <w:spacing w:val="-7"/>
        </w:rPr>
        <w:t xml:space="preserve"> </w:t>
      </w:r>
      <w:r>
        <w:t>barrister)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suffering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illness</w:t>
      </w:r>
      <w:r>
        <w:rPr>
          <w:spacing w:val="-5"/>
        </w:rPr>
        <w:t xml:space="preserve"> </w:t>
      </w:r>
      <w:r>
        <w:t>that he</w:t>
      </w:r>
      <w:r>
        <w:rPr>
          <w:spacing w:val="3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she</w:t>
      </w:r>
      <w:r>
        <w:rPr>
          <w:spacing w:val="34"/>
        </w:rPr>
        <w:t xml:space="preserve"> </w:t>
      </w:r>
      <w:r>
        <w:t>believes</w:t>
      </w:r>
      <w:r>
        <w:rPr>
          <w:spacing w:val="32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likely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become</w:t>
      </w:r>
      <w:r>
        <w:rPr>
          <w:spacing w:val="32"/>
        </w:rPr>
        <w:t xml:space="preserve"> </w:t>
      </w:r>
      <w:r>
        <w:t>long-term</w:t>
      </w:r>
      <w:r>
        <w:rPr>
          <w:spacing w:val="36"/>
        </w:rPr>
        <w:t xml:space="preserve"> </w:t>
      </w:r>
      <w:r>
        <w:t>should</w:t>
      </w:r>
      <w:r>
        <w:rPr>
          <w:spacing w:val="32"/>
        </w:rPr>
        <w:t xml:space="preserve"> </w:t>
      </w:r>
      <w:r>
        <w:t>notify</w:t>
      </w:r>
      <w:r>
        <w:rPr>
          <w:spacing w:val="32"/>
        </w:rPr>
        <w:t xml:space="preserve"> </w:t>
      </w:r>
      <w:r>
        <w:t>Chambers</w:t>
      </w:r>
      <w:r>
        <w:rPr>
          <w:spacing w:val="35"/>
        </w:rPr>
        <w:t xml:space="preserve"> </w:t>
      </w:r>
      <w:r>
        <w:t>via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Chief</w:t>
      </w:r>
    </w:p>
    <w:p w14:paraId="541B286D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40754529" w14:textId="77777777" w:rsidR="001074C4" w:rsidRDefault="001074C4" w:rsidP="001074C4">
      <w:pPr>
        <w:pStyle w:val="BodyText"/>
        <w:spacing w:before="78" w:line="360" w:lineRule="auto"/>
        <w:ind w:right="652"/>
        <w:jc w:val="both"/>
      </w:pPr>
      <w:r>
        <w:t>Executive as</w:t>
      </w:r>
      <w:r>
        <w:rPr>
          <w:spacing w:val="-1"/>
        </w:rPr>
        <w:t xml:space="preserve"> </w:t>
      </w:r>
      <w:r>
        <w:t>soon as</w:t>
      </w:r>
      <w:r>
        <w:rPr>
          <w:spacing w:val="-1"/>
        </w:rPr>
        <w:t xml:space="preserve"> </w:t>
      </w:r>
      <w:r>
        <w:t>reasonably practicable of that fact and of any adjustments</w:t>
      </w:r>
      <w:r>
        <w:rPr>
          <w:spacing w:val="-1"/>
        </w:rPr>
        <w:t xml:space="preserve"> </w:t>
      </w:r>
      <w:r>
        <w:t xml:space="preserve">that he or she considers Chambers might reasonably make </w:t>
      </w:r>
      <w:proofErr w:type="gramStart"/>
      <w:r>
        <w:t>in order to</w:t>
      </w:r>
      <w:proofErr w:type="gramEnd"/>
      <w:r>
        <w:t xml:space="preserve"> allow his or her return to</w:t>
      </w:r>
      <w:r>
        <w:rPr>
          <w:spacing w:val="40"/>
        </w:rPr>
        <w:t xml:space="preserve"> </w:t>
      </w:r>
      <w:r>
        <w:rPr>
          <w:spacing w:val="-2"/>
        </w:rPr>
        <w:t>work.</w:t>
      </w:r>
    </w:p>
    <w:p w14:paraId="30EABF75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138F5470" w14:textId="77777777" w:rsidR="00892D98" w:rsidRDefault="00892D98" w:rsidP="00892D98">
      <w:pPr>
        <w:pStyle w:val="BodyText"/>
        <w:spacing w:line="372" w:lineRule="auto"/>
        <w:ind w:right="888"/>
      </w:pPr>
      <w:r>
        <w:t>This policy was adopted by the Governance Board on 28th September 2023 and will be reviewed every two years.</w:t>
      </w:r>
    </w:p>
    <w:p w14:paraId="2091C716" w14:textId="77777777" w:rsidR="00892D98" w:rsidRPr="00A6279B" w:rsidRDefault="00892D98" w:rsidP="00803077">
      <w:pPr>
        <w:pStyle w:val="OnafriqBodycopy"/>
        <w:rPr>
          <w:rFonts w:asciiTheme="minorHAnsi" w:hAnsiTheme="minorHAnsi" w:cstheme="minorHAnsi"/>
          <w:sz w:val="22"/>
        </w:rPr>
      </w:pPr>
    </w:p>
    <w:sectPr w:rsidR="00892D98" w:rsidRPr="00A6279B" w:rsidSect="005236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74" w:right="1474" w:bottom="1871" w:left="1474" w:header="22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F9B3" w14:textId="77777777" w:rsidR="00DA0A83" w:rsidRDefault="00DA0A83" w:rsidP="00663A35">
      <w:pPr>
        <w:spacing w:after="0" w:line="240" w:lineRule="auto"/>
      </w:pPr>
      <w:r>
        <w:separator/>
      </w:r>
    </w:p>
  </w:endnote>
  <w:endnote w:type="continuationSeparator" w:id="0">
    <w:p w14:paraId="5874C14E" w14:textId="77777777" w:rsidR="00DA0A83" w:rsidRDefault="00DA0A83" w:rsidP="0066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D63E1FB-EBA7-E24F-9007-591802AEDB53}"/>
    <w:embedBold r:id="rId2" w:fontKey="{D11219E1-A33B-EF4B-BC33-B655A349E5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EAF779-864D-2F4D-A4FA-44227493F385}"/>
  </w:font>
  <w:font w:name="Kumbh Sans Light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2EE36036-D84E-1948-98C6-1B335698E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8E53C4-52EE-4B4E-8E4F-10487FB9BE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3BB57FF-538C-EA4F-AA60-322AFC6FBB6A}"/>
  </w:font>
  <w:font w:name="Kumbh Sans SemiBold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Kumbh Sans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D499" w14:textId="77777777" w:rsidR="001B0B15" w:rsidRDefault="001B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1102" w14:textId="395FD30E" w:rsidR="00DF3EAA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9FE0BB1" wp14:editId="14E8903B">
              <wp:simplePos x="0" y="0"/>
              <wp:positionH relativeFrom="margin">
                <wp:align>center</wp:align>
              </wp:positionH>
              <wp:positionV relativeFrom="paragraph">
                <wp:posOffset>-167640</wp:posOffset>
              </wp:positionV>
              <wp:extent cx="6593840" cy="0"/>
              <wp:effectExtent l="0" t="0" r="0" b="0"/>
              <wp:wrapNone/>
              <wp:docPr id="13936050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5D1382B" id="Straight Connector 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2pt" to="519.2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Md/1yvcAAAACQEAAA8AAABk&#10;cnMvZG93bnJldi54bWxMj0FvwjAMhe+T+A+RJ+0G6WBCrGuKEBoHbhvbZbfQmKZa4nSNKR2/fkFC&#10;Yjfb7+n5e8Vy8E702MUmkILHSQYCqQqmoVrB58dmvAARWZPRLhAq+MUIy3J0V+jchBO9Y7/jWqQQ&#10;irlWYJnbXMpYWfQ6TkKLlLRD6LzmtHa1NJ0+pXDv5DTL5tLrhtIHq1tcW6y+d0evQDL7WezX27fX&#10;L2fN5vm8PfyclXq4H1YvIBgHvpnhgp/QoUxM+3AkE4VTkIqwgvF0/gTiImezRZr215MsC/m/Qfk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x3/XK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2834712A" w14:textId="77777777" w:rsidR="00C92143" w:rsidRPr="00DF3EAA" w:rsidRDefault="00C92143" w:rsidP="00C92143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18CCE" w14:textId="21D98423" w:rsidR="00E96467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DA86256" wp14:editId="7F94F546">
              <wp:simplePos x="0" y="0"/>
              <wp:positionH relativeFrom="margin">
                <wp:align>center</wp:align>
              </wp:positionH>
              <wp:positionV relativeFrom="paragraph">
                <wp:posOffset>-168910</wp:posOffset>
              </wp:positionV>
              <wp:extent cx="6593840" cy="0"/>
              <wp:effectExtent l="0" t="0" r="0" b="0"/>
              <wp:wrapNone/>
              <wp:docPr id="134424001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1007A31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3pt" to="519.2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LOEA5/cAAAACQEAAA8AAABk&#10;cnMvZG93bnJldi54bWxMj8FOwzAQRO9I/IO1SNxahxZFJY1ToYoeeoPChZsbb+Oo9jrE2zT063El&#10;JDjOzmrmTbkavRMD9rENpOBhmoFAqoNpqVHw8b6ZLEBE1mS0C4QKvjHCqrq9KXVhwpnecNhxI1II&#10;xUIrsMxdIWWsLXodp6FDSt4h9F5zkn0jTa/PKdw7OcuyXHrdUmqwusO1xfq4O3kFktnP47Devr58&#10;Oms2T5ft4eui1P3d+LwEwTjy3zNc8RM6VIlpH05konAK0hBWMJnlOYirnc0XjyD2vydZlfL/guo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s4QDn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1393A4A3" w14:textId="4BBD4C69" w:rsidR="00C92143" w:rsidRPr="00302DCE" w:rsidRDefault="00C92143" w:rsidP="00C92143">
    <w:pPr>
      <w:pStyle w:val="xmsonormal"/>
      <w:spacing w:before="0" w:beforeAutospacing="0" w:after="0" w:afterAutospacing="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605B6" w14:textId="77777777" w:rsidR="00DA0A83" w:rsidRDefault="00DA0A83" w:rsidP="00663A35">
      <w:pPr>
        <w:spacing w:after="0" w:line="240" w:lineRule="auto"/>
      </w:pPr>
      <w:r>
        <w:separator/>
      </w:r>
    </w:p>
  </w:footnote>
  <w:footnote w:type="continuationSeparator" w:id="0">
    <w:p w14:paraId="156A64D2" w14:textId="77777777" w:rsidR="00DA0A83" w:rsidRDefault="00DA0A83" w:rsidP="0066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9498" w14:textId="77777777" w:rsidR="001B0B15" w:rsidRDefault="001B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FD36" w14:textId="77777777" w:rsidR="001B0B15" w:rsidRDefault="001B0B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B975" w14:textId="1AED63A2" w:rsidR="00E96467" w:rsidRDefault="00CA3A12">
    <w:pPr>
      <w:pStyle w:val="Header"/>
    </w:pPr>
    <w:r>
      <w:rPr>
        <w:noProof/>
      </w:rPr>
      <w:drawing>
        <wp:anchor distT="0" distB="0" distL="114300" distR="114300" simplePos="0" relativeHeight="251662335" behindDoc="1" locked="0" layoutInCell="1" allowOverlap="1" wp14:anchorId="6AF0FA7A" wp14:editId="56CD3EC1">
          <wp:simplePos x="0" y="0"/>
          <wp:positionH relativeFrom="column">
            <wp:posOffset>-449834</wp:posOffset>
          </wp:positionH>
          <wp:positionV relativeFrom="paragraph">
            <wp:posOffset>360045</wp:posOffset>
          </wp:positionV>
          <wp:extent cx="1789200" cy="430022"/>
          <wp:effectExtent l="0" t="0" r="1905" b="8255"/>
          <wp:wrapNone/>
          <wp:docPr id="10703152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31520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430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73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2DFE0B" wp14:editId="2013F873">
              <wp:simplePos x="0" y="0"/>
              <wp:positionH relativeFrom="column">
                <wp:posOffset>-455930</wp:posOffset>
              </wp:positionH>
              <wp:positionV relativeFrom="paragraph">
                <wp:posOffset>1057275</wp:posOffset>
              </wp:positionV>
              <wp:extent cx="6593840" cy="0"/>
              <wp:effectExtent l="0" t="0" r="0" b="0"/>
              <wp:wrapNone/>
              <wp:docPr id="55305120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2E26DB0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pt,83.25pt" to="483.3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" strokecolor="#98ce82" strokeweight="1pt">
              <v:stroke joinstyle="miter"/>
            </v:line>
          </w:pict>
        </mc:Fallback>
      </mc:AlternateContent>
    </w:r>
    <w:r w:rsidR="00C9214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BD702A" wp14:editId="5915BFA1">
              <wp:simplePos x="0" y="0"/>
              <wp:positionH relativeFrom="column">
                <wp:posOffset>4705985</wp:posOffset>
              </wp:positionH>
              <wp:positionV relativeFrom="paragraph">
                <wp:posOffset>275480</wp:posOffset>
              </wp:positionV>
              <wp:extent cx="1685925" cy="830580"/>
              <wp:effectExtent l="0" t="0" r="0" b="0"/>
              <wp:wrapSquare wrapText="bothSides"/>
              <wp:docPr id="12013847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5DF59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T: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+44 (0) 20 7421 5300 </w:t>
                          </w:r>
                        </w:p>
                        <w:p w14:paraId="1FD64BFA" w14:textId="77777777" w:rsidR="00A6279B" w:rsidRPr="00302DCE" w:rsidRDefault="00A6279B" w:rsidP="00A6279B">
                          <w:pPr>
                            <w:spacing w:after="0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</w:pPr>
                          <w:r w:rsidRPr="00302DCE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E: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clerks@tanfieldchambers.co.uk 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7B2D65FF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W: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tanfieldchambers.co.uk  </w:t>
                          </w:r>
                        </w:p>
                        <w:p w14:paraId="17AEDFF9" w14:textId="77777777" w:rsidR="00A6279B" w:rsidRPr="00302DCE" w:rsidRDefault="00A6279B" w:rsidP="00A6279B">
                          <w:pPr>
                            <w:spacing w:after="0"/>
                            <w:rPr>
                              <w:rFonts w:cstheme="minorHAnsi"/>
                              <w:lang w:val="en-US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DX:</w:t>
                          </w: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46 London Chancery Lane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D70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55pt;margin-top:21.7pt;width:132.75pt;height: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" filled="f" stroked="f">
              <v:textbox>
                <w:txbxContent>
                  <w:p w14:paraId="7985DF59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T: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+44 (0) 20 7421 5300 </w:t>
                    </w:r>
                  </w:p>
                  <w:p w14:paraId="1FD64BFA" w14:textId="77777777" w:rsidR="00A6279B" w:rsidRPr="00302DCE" w:rsidRDefault="00A6279B" w:rsidP="00A6279B">
                    <w:pPr>
                      <w:spacing w:after="0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</w:pPr>
                    <w:r w:rsidRPr="00302DCE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E: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clerks@tanfieldchambers.co.uk 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</w:p>
                  <w:p w14:paraId="7B2D65FF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W: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GB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  <w:t xml:space="preserve">tanfieldchambers.co.uk  </w:t>
                    </w:r>
                  </w:p>
                  <w:p w14:paraId="17AEDFF9" w14:textId="77777777" w:rsidR="00A6279B" w:rsidRPr="00302DCE" w:rsidRDefault="00A6279B" w:rsidP="00A6279B">
                    <w:pPr>
                      <w:spacing w:after="0"/>
                      <w:rPr>
                        <w:rFonts w:cstheme="minorHAnsi"/>
                        <w:lang w:val="en-US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DX:</w:t>
                    </w: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  <w:lang w:val="en-US"/>
                      </w:rPr>
                      <w:t>46 London Chancery Lane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7C1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BE47246" wp14:editId="12397524">
              <wp:simplePos x="0" y="0"/>
              <wp:positionH relativeFrom="column">
                <wp:posOffset>2807335</wp:posOffset>
              </wp:positionH>
              <wp:positionV relativeFrom="paragraph">
                <wp:posOffset>300990</wp:posOffset>
              </wp:positionV>
              <wp:extent cx="1497330" cy="8305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FA0E9" w14:textId="49A38D78" w:rsidR="00DF3EAA" w:rsidRPr="00A6279B" w:rsidRDefault="00DF3EAA" w:rsidP="00DF3EAA">
                          <w:pPr>
                            <w:spacing w:after="0" w:line="252" w:lineRule="auto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Tanfield Chambers </w:t>
                          </w:r>
                        </w:p>
                        <w:p w14:paraId="1E2CA94B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  <w:p w14:paraId="326760E3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2-5 Warwick Court, London, </w:t>
                          </w:r>
                        </w:p>
                        <w:p w14:paraId="42FCC41C" w14:textId="77777777" w:rsidR="00E96467" w:rsidRP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WC1R 5DH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E47246" id="_x0000_s1027" type="#_x0000_t202" style="position:absolute;margin-left:221.05pt;margin-top:23.7pt;width:117.9pt;height:6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" filled="f" stroked="f">
              <v:textbox>
                <w:txbxContent>
                  <w:p w14:paraId="00DFA0E9" w14:textId="49A38D78" w:rsidR="00DF3EAA" w:rsidRPr="00A6279B" w:rsidRDefault="00DF3EAA" w:rsidP="00DF3EAA">
                    <w:pPr>
                      <w:spacing w:after="0" w:line="252" w:lineRule="auto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Tanfield Chambers </w:t>
                    </w:r>
                  </w:p>
                  <w:p w14:paraId="1E2CA94B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</w:p>
                  <w:p w14:paraId="326760E3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 xml:space="preserve">2-5 Warwick Court, London, </w:t>
                    </w:r>
                  </w:p>
                  <w:p w14:paraId="42FCC41C" w14:textId="77777777" w:rsidR="00E96467" w:rsidRP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>WC1R 5DH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20FA1"/>
    <w:multiLevelType w:val="hybridMultilevel"/>
    <w:tmpl w:val="6678756E"/>
    <w:lvl w:ilvl="0" w:tplc="6D30298A">
      <w:start w:val="1"/>
      <w:numFmt w:val="decimal"/>
      <w:lvlText w:val="%1."/>
      <w:lvlJc w:val="left"/>
      <w:pPr>
        <w:ind w:left="1082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8AA757C">
      <w:start w:val="1"/>
      <w:numFmt w:val="lowerLetter"/>
      <w:lvlText w:val="%2."/>
      <w:lvlJc w:val="left"/>
      <w:pPr>
        <w:ind w:left="1651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B18A7B2">
      <w:numFmt w:val="bullet"/>
      <w:lvlText w:val="•"/>
      <w:lvlJc w:val="left"/>
      <w:pPr>
        <w:ind w:left="1960" w:hanging="569"/>
      </w:pPr>
      <w:rPr>
        <w:rFonts w:hint="default"/>
        <w:lang w:val="en-US" w:eastAsia="en-US" w:bidi="ar-SA"/>
      </w:rPr>
    </w:lvl>
    <w:lvl w:ilvl="3" w:tplc="FA4E3BB8">
      <w:numFmt w:val="bullet"/>
      <w:lvlText w:val="•"/>
      <w:lvlJc w:val="left"/>
      <w:pPr>
        <w:ind w:left="3031" w:hanging="569"/>
      </w:pPr>
      <w:rPr>
        <w:rFonts w:hint="default"/>
        <w:lang w:val="en-US" w:eastAsia="en-US" w:bidi="ar-SA"/>
      </w:rPr>
    </w:lvl>
    <w:lvl w:ilvl="4" w:tplc="57247C0C">
      <w:numFmt w:val="bullet"/>
      <w:lvlText w:val="•"/>
      <w:lvlJc w:val="left"/>
      <w:pPr>
        <w:ind w:left="4102" w:hanging="569"/>
      </w:pPr>
      <w:rPr>
        <w:rFonts w:hint="default"/>
        <w:lang w:val="en-US" w:eastAsia="en-US" w:bidi="ar-SA"/>
      </w:rPr>
    </w:lvl>
    <w:lvl w:ilvl="5" w:tplc="52E0D46C">
      <w:numFmt w:val="bullet"/>
      <w:lvlText w:val="•"/>
      <w:lvlJc w:val="left"/>
      <w:pPr>
        <w:ind w:left="5174" w:hanging="569"/>
      </w:pPr>
      <w:rPr>
        <w:rFonts w:hint="default"/>
        <w:lang w:val="en-US" w:eastAsia="en-US" w:bidi="ar-SA"/>
      </w:rPr>
    </w:lvl>
    <w:lvl w:ilvl="6" w:tplc="BB1A4B56">
      <w:numFmt w:val="bullet"/>
      <w:lvlText w:val="•"/>
      <w:lvlJc w:val="left"/>
      <w:pPr>
        <w:ind w:left="6245" w:hanging="569"/>
      </w:pPr>
      <w:rPr>
        <w:rFonts w:hint="default"/>
        <w:lang w:val="en-US" w:eastAsia="en-US" w:bidi="ar-SA"/>
      </w:rPr>
    </w:lvl>
    <w:lvl w:ilvl="7" w:tplc="AFACD058">
      <w:numFmt w:val="bullet"/>
      <w:lvlText w:val="•"/>
      <w:lvlJc w:val="left"/>
      <w:pPr>
        <w:ind w:left="7317" w:hanging="569"/>
      </w:pPr>
      <w:rPr>
        <w:rFonts w:hint="default"/>
        <w:lang w:val="en-US" w:eastAsia="en-US" w:bidi="ar-SA"/>
      </w:rPr>
    </w:lvl>
    <w:lvl w:ilvl="8" w:tplc="4148D862">
      <w:numFmt w:val="bullet"/>
      <w:lvlText w:val="•"/>
      <w:lvlJc w:val="left"/>
      <w:pPr>
        <w:ind w:left="8388" w:hanging="569"/>
      </w:pPr>
      <w:rPr>
        <w:rFonts w:hint="default"/>
        <w:lang w:val="en-US" w:eastAsia="en-US" w:bidi="ar-SA"/>
      </w:rPr>
    </w:lvl>
  </w:abstractNum>
  <w:abstractNum w:abstractNumId="1" w15:restartNumberingAfterBreak="0">
    <w:nsid w:val="76BF49D4"/>
    <w:multiLevelType w:val="hybridMultilevel"/>
    <w:tmpl w:val="6678756E"/>
    <w:lvl w:ilvl="0" w:tplc="FFFFFFFF">
      <w:start w:val="1"/>
      <w:numFmt w:val="decimal"/>
      <w:lvlText w:val="%1."/>
      <w:lvlJc w:val="left"/>
      <w:pPr>
        <w:ind w:left="1082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651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60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1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02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74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45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17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8" w:hanging="569"/>
      </w:pPr>
      <w:rPr>
        <w:rFonts w:hint="default"/>
        <w:lang w:val="en-US" w:eastAsia="en-US" w:bidi="ar-SA"/>
      </w:rPr>
    </w:lvl>
  </w:abstractNum>
  <w:num w:numId="1" w16cid:durableId="1994481691">
    <w:abstractNumId w:val="0"/>
  </w:num>
  <w:num w:numId="2" w16cid:durableId="556668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3A"/>
    <w:rsid w:val="00027802"/>
    <w:rsid w:val="00050156"/>
    <w:rsid w:val="000619DB"/>
    <w:rsid w:val="000932EA"/>
    <w:rsid w:val="000E49ED"/>
    <w:rsid w:val="001074C4"/>
    <w:rsid w:val="00113C06"/>
    <w:rsid w:val="00187D89"/>
    <w:rsid w:val="001B0B15"/>
    <w:rsid w:val="001C43F9"/>
    <w:rsid w:val="00214FC1"/>
    <w:rsid w:val="00240F4C"/>
    <w:rsid w:val="00281BA0"/>
    <w:rsid w:val="002825E7"/>
    <w:rsid w:val="00283E5E"/>
    <w:rsid w:val="002C370C"/>
    <w:rsid w:val="002D20CB"/>
    <w:rsid w:val="002E0C04"/>
    <w:rsid w:val="00302DCE"/>
    <w:rsid w:val="00330EEB"/>
    <w:rsid w:val="003313F1"/>
    <w:rsid w:val="00344377"/>
    <w:rsid w:val="00353BD0"/>
    <w:rsid w:val="003555EC"/>
    <w:rsid w:val="003645BC"/>
    <w:rsid w:val="003D089A"/>
    <w:rsid w:val="003E68A9"/>
    <w:rsid w:val="004A1694"/>
    <w:rsid w:val="004B6520"/>
    <w:rsid w:val="00506414"/>
    <w:rsid w:val="0051006D"/>
    <w:rsid w:val="0052364A"/>
    <w:rsid w:val="00523E0C"/>
    <w:rsid w:val="00544B85"/>
    <w:rsid w:val="00554597"/>
    <w:rsid w:val="00563C44"/>
    <w:rsid w:val="00564CB6"/>
    <w:rsid w:val="00565EBC"/>
    <w:rsid w:val="00584ADB"/>
    <w:rsid w:val="005A34ED"/>
    <w:rsid w:val="005A7CF2"/>
    <w:rsid w:val="005B1CB9"/>
    <w:rsid w:val="005E221E"/>
    <w:rsid w:val="005F28F4"/>
    <w:rsid w:val="0061421D"/>
    <w:rsid w:val="00663A35"/>
    <w:rsid w:val="00673BF9"/>
    <w:rsid w:val="006F262E"/>
    <w:rsid w:val="0070286F"/>
    <w:rsid w:val="00724808"/>
    <w:rsid w:val="00724E09"/>
    <w:rsid w:val="00726553"/>
    <w:rsid w:val="007320AE"/>
    <w:rsid w:val="00732999"/>
    <w:rsid w:val="007A3E42"/>
    <w:rsid w:val="007B0862"/>
    <w:rsid w:val="007C020D"/>
    <w:rsid w:val="00803077"/>
    <w:rsid w:val="008077DF"/>
    <w:rsid w:val="00826573"/>
    <w:rsid w:val="008275B8"/>
    <w:rsid w:val="008422A4"/>
    <w:rsid w:val="00850BE0"/>
    <w:rsid w:val="00860A4F"/>
    <w:rsid w:val="00863E6B"/>
    <w:rsid w:val="00871196"/>
    <w:rsid w:val="00884589"/>
    <w:rsid w:val="00892AFB"/>
    <w:rsid w:val="00892D98"/>
    <w:rsid w:val="00923BF5"/>
    <w:rsid w:val="009535BC"/>
    <w:rsid w:val="009C2676"/>
    <w:rsid w:val="009C4125"/>
    <w:rsid w:val="009D0913"/>
    <w:rsid w:val="00A14A0A"/>
    <w:rsid w:val="00A24EF1"/>
    <w:rsid w:val="00A33DDC"/>
    <w:rsid w:val="00A44277"/>
    <w:rsid w:val="00A6279B"/>
    <w:rsid w:val="00AD1D4E"/>
    <w:rsid w:val="00AF3865"/>
    <w:rsid w:val="00B01F04"/>
    <w:rsid w:val="00B07C12"/>
    <w:rsid w:val="00B14725"/>
    <w:rsid w:val="00B16D4A"/>
    <w:rsid w:val="00B174BC"/>
    <w:rsid w:val="00B42AB1"/>
    <w:rsid w:val="00B56B8B"/>
    <w:rsid w:val="00B578D3"/>
    <w:rsid w:val="00BA0C29"/>
    <w:rsid w:val="00BB51B8"/>
    <w:rsid w:val="00BB6609"/>
    <w:rsid w:val="00BD37E1"/>
    <w:rsid w:val="00BD603B"/>
    <w:rsid w:val="00C01034"/>
    <w:rsid w:val="00C06A3A"/>
    <w:rsid w:val="00C6079F"/>
    <w:rsid w:val="00C651FA"/>
    <w:rsid w:val="00C82A9B"/>
    <w:rsid w:val="00C92143"/>
    <w:rsid w:val="00CA3A12"/>
    <w:rsid w:val="00CB2865"/>
    <w:rsid w:val="00CD5818"/>
    <w:rsid w:val="00CE4675"/>
    <w:rsid w:val="00D00471"/>
    <w:rsid w:val="00D07D8D"/>
    <w:rsid w:val="00D92EB6"/>
    <w:rsid w:val="00DA0A83"/>
    <w:rsid w:val="00DF3EAA"/>
    <w:rsid w:val="00DF421A"/>
    <w:rsid w:val="00E2343E"/>
    <w:rsid w:val="00E34A29"/>
    <w:rsid w:val="00E57041"/>
    <w:rsid w:val="00E7073A"/>
    <w:rsid w:val="00E96467"/>
    <w:rsid w:val="00EB60A5"/>
    <w:rsid w:val="00FA1D76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0CC59"/>
  <w15:chartTrackingRefBased/>
  <w15:docId w15:val="{9F1ADE4B-CF0B-4FEB-BFC3-C530DB8E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A35"/>
  </w:style>
  <w:style w:type="paragraph" w:styleId="Footer">
    <w:name w:val="footer"/>
    <w:basedOn w:val="Normal"/>
    <w:link w:val="Foot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A35"/>
  </w:style>
  <w:style w:type="character" w:styleId="Hyperlink">
    <w:name w:val="Hyperlink"/>
    <w:basedOn w:val="DefaultParagraphFont"/>
    <w:uiPriority w:val="99"/>
    <w:unhideWhenUsed/>
    <w:rsid w:val="009C41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125"/>
    <w:rPr>
      <w:color w:val="605E5C"/>
      <w:shd w:val="clear" w:color="auto" w:fill="E1DFDD"/>
    </w:rPr>
  </w:style>
  <w:style w:type="paragraph" w:customStyle="1" w:styleId="Prrafobsico">
    <w:name w:val="[Párrafo básico]"/>
    <w:basedOn w:val="Normal"/>
    <w:uiPriority w:val="99"/>
    <w:rsid w:val="009C412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customStyle="1" w:styleId="OnafriqBodycopy">
    <w:name w:val="Onafriq Body copy"/>
    <w:basedOn w:val="Normal"/>
    <w:qFormat/>
    <w:rsid w:val="005E221E"/>
    <w:pPr>
      <w:spacing w:line="240" w:lineRule="auto"/>
    </w:pPr>
    <w:rPr>
      <w:rFonts w:ascii="Open Sans" w:hAnsi="Open Sans"/>
      <w:color w:val="2F3235"/>
      <w:sz w:val="21"/>
      <w:lang w:val="en-GB"/>
    </w:rPr>
  </w:style>
  <w:style w:type="paragraph" w:customStyle="1" w:styleId="xmsonormal">
    <w:name w:val="x_msonormal"/>
    <w:basedOn w:val="Normal"/>
    <w:rsid w:val="00FA1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paragraph" w:styleId="NoSpacing">
    <w:name w:val="No Spacing"/>
    <w:uiPriority w:val="1"/>
    <w:qFormat/>
    <w:rsid w:val="005A7CF2"/>
    <w:pPr>
      <w:spacing w:after="0" w:line="240" w:lineRule="auto"/>
    </w:pPr>
    <w:rPr>
      <w:rFonts w:ascii="Cambria" w:eastAsia="Cambria" w:hAnsi="Cambria" w:cs="Cambria"/>
      <w:sz w:val="24"/>
      <w:szCs w:val="24"/>
      <w:lang w:val="en-US" w:eastAsia="en-ZA"/>
    </w:rPr>
  </w:style>
  <w:style w:type="character" w:customStyle="1" w:styleId="A1">
    <w:name w:val="A1"/>
    <w:uiPriority w:val="99"/>
    <w:rsid w:val="00330EEB"/>
    <w:rPr>
      <w:rFonts w:cs="Kumbh Sans Light"/>
      <w:color w:val="211D1E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14F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14FC1"/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214FC1"/>
    <w:pPr>
      <w:widowControl w:val="0"/>
      <w:autoSpaceDE w:val="0"/>
      <w:autoSpaceDN w:val="0"/>
      <w:spacing w:after="0" w:line="240" w:lineRule="auto"/>
      <w:ind w:right="132"/>
      <w:jc w:val="center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14FC1"/>
    <w:rPr>
      <w:rFonts w:ascii="Arial" w:eastAsia="Arial" w:hAnsi="Arial" w:cs="Arial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rsid w:val="00214FC1"/>
    <w:pPr>
      <w:widowControl w:val="0"/>
      <w:autoSpaceDE w:val="0"/>
      <w:autoSpaceDN w:val="0"/>
      <w:spacing w:after="0" w:line="240" w:lineRule="auto"/>
      <w:ind w:left="1083" w:right="650" w:hanging="567"/>
      <w:jc w:val="both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">
      <a:majorFont>
        <a:latin typeface="Kumbh sans"/>
        <a:ea typeface=""/>
        <a:cs typeface=""/>
      </a:majorFont>
      <a:minorFont>
        <a:latin typeface="Kumbh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414FDC273BB48B70CDD7AF0E70077" ma:contentTypeVersion="15" ma:contentTypeDescription="Create a new document." ma:contentTypeScope="" ma:versionID="0d4c820bcdacb6fef9e0b5009a78e2c0">
  <xsd:schema xmlns:xsd="http://www.w3.org/2001/XMLSchema" xmlns:xs="http://www.w3.org/2001/XMLSchema" xmlns:p="http://schemas.microsoft.com/office/2006/metadata/properties" xmlns:ns2="fac57a5c-1f60-487a-8da7-818ab9dedd5c" xmlns:ns3="6045a557-fbf6-4b19-b83d-ac38d57b3ebe" targetNamespace="http://schemas.microsoft.com/office/2006/metadata/properties" ma:root="true" ma:fieldsID="c81895d490977f77e9460afeac3893da" ns2:_="" ns3:_="">
    <xsd:import namespace="fac57a5c-1f60-487a-8da7-818ab9dedd5c"/>
    <xsd:import namespace="6045a557-fbf6-4b19-b83d-ac38d57b3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57a5c-1f60-487a-8da7-818ab9ded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6550ce-6995-4e30-8daf-d76a7d04b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5a557-fbf6-4b19-b83d-ac38d57b3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c57a5c-1f60-487a-8da7-818ab9dedd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4845AF-DD37-4256-82F8-735278B2CC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52096-87D0-4EFA-8EEF-93AF7B89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57a5c-1f60-487a-8da7-818ab9dedd5c"/>
    <ds:schemaRef ds:uri="6045a557-fbf6-4b19-b83d-ac38d57b3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6F9291-A399-43F0-9070-5BD03236AC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FEB82B-4FD4-42DC-8A6F-BF8C817D132A}">
  <ds:schemaRefs>
    <ds:schemaRef ds:uri="http://schemas.microsoft.com/office/2006/metadata/properties"/>
    <ds:schemaRef ds:uri="http://schemas.microsoft.com/office/infopath/2007/PartnerControls"/>
    <ds:schemaRef ds:uri="fac57a5c-1f60-487a-8da7-818ab9dedd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Elizabeth Sampson-Shaw</cp:lastModifiedBy>
  <cp:revision>2</cp:revision>
  <dcterms:created xsi:type="dcterms:W3CDTF">2024-09-05T15:22:00Z</dcterms:created>
  <dcterms:modified xsi:type="dcterms:W3CDTF">2024-09-05T15:22:00Z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0x0101008A6414FDC273BB48B70CDD7AF0E70077</vt:lpwstr>
  </property>
  <property fmtid="{D5CDD505-2E9C-101B-9397-08002B2CF9AE}" pid="3" name="MediaServiceImageTags">
    <vt:lpwstr/>
  </property>
</Properties>
</file>